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042" w:type="dxa"/>
        <w:tblInd w:w="-72" w:type="dxa"/>
        <w:tblCellMar>
          <w:left w:w="70" w:type="dxa"/>
          <w:right w:w="70" w:type="dxa"/>
        </w:tblCellMar>
        <w:tblLook w:val="0000" w:firstRow="0" w:lastRow="0" w:firstColumn="0" w:lastColumn="0" w:noHBand="0" w:noVBand="0"/>
      </w:tblPr>
      <w:tblGrid>
        <w:gridCol w:w="2216"/>
        <w:gridCol w:w="16826"/>
      </w:tblGrid>
      <w:tr w:rsidR="000737F1" w:rsidRPr="002865BF" w:rsidTr="00865176">
        <w:trPr>
          <w:trHeight w:val="2145"/>
        </w:trPr>
        <w:tc>
          <w:tcPr>
            <w:tcW w:w="2214" w:type="dxa"/>
          </w:tcPr>
          <w:p w:rsidR="000737F1" w:rsidRPr="002865BF" w:rsidRDefault="000737F1" w:rsidP="00865176">
            <w:pPr>
              <w:rPr>
                <w:sz w:val="28"/>
                <w:szCs w:val="28"/>
              </w:rPr>
            </w:pPr>
            <w:r>
              <w:rPr>
                <w:noProof/>
                <w:sz w:val="28"/>
                <w:szCs w:val="28"/>
                <w:lang w:val="fr-FR" w:eastAsia="fr-FR"/>
              </w:rPr>
              <w:drawing>
                <wp:inline distT="0" distB="0" distL="0" distR="0" wp14:anchorId="65F68543" wp14:editId="3D63382D">
                  <wp:extent cx="1318260" cy="1276985"/>
                  <wp:effectExtent l="0" t="0" r="0"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8260" cy="1276985"/>
                          </a:xfrm>
                          <a:prstGeom prst="rect">
                            <a:avLst/>
                          </a:prstGeom>
                          <a:noFill/>
                          <a:ln>
                            <a:noFill/>
                          </a:ln>
                        </pic:spPr>
                      </pic:pic>
                    </a:graphicData>
                  </a:graphic>
                </wp:inline>
              </w:drawing>
            </w:r>
          </w:p>
        </w:tc>
        <w:tc>
          <w:tcPr>
            <w:tcW w:w="16828" w:type="dxa"/>
          </w:tcPr>
          <w:p w:rsidR="000737F1" w:rsidRPr="00F85A4F" w:rsidRDefault="000737F1" w:rsidP="00865176">
            <w:pPr>
              <w:ind w:right="2739" w:firstLine="168"/>
              <w:jc w:val="both"/>
              <w:rPr>
                <w:sz w:val="32"/>
                <w:szCs w:val="32"/>
                <w:lang w:val="fr-FR"/>
              </w:rPr>
            </w:pPr>
            <w:r w:rsidRPr="00F85A4F">
              <w:rPr>
                <w:sz w:val="32"/>
                <w:szCs w:val="32"/>
                <w:lang w:val="fr-FR"/>
              </w:rPr>
              <w:t>CONSEIL PARLEMENTAIRE INTERREGIONAL</w:t>
            </w:r>
          </w:p>
          <w:p w:rsidR="000737F1" w:rsidRPr="00F85A4F" w:rsidRDefault="000737F1" w:rsidP="00865176">
            <w:pPr>
              <w:ind w:right="9370" w:firstLine="168"/>
              <w:jc w:val="both"/>
              <w:rPr>
                <w:sz w:val="32"/>
                <w:szCs w:val="32"/>
                <w:lang w:val="fr-FR"/>
              </w:rPr>
            </w:pPr>
            <w:r w:rsidRPr="00F85A4F">
              <w:rPr>
                <w:sz w:val="32"/>
                <w:szCs w:val="32"/>
                <w:lang w:val="fr-FR"/>
              </w:rPr>
              <w:t>INTERREGIONALER PARLAMENTARIER-RAT</w:t>
            </w:r>
          </w:p>
          <w:p w:rsidR="000737F1" w:rsidRPr="001439DE" w:rsidRDefault="000737F1" w:rsidP="00865176">
            <w:pPr>
              <w:tabs>
                <w:tab w:val="left" w:pos="7538"/>
              </w:tabs>
              <w:ind w:left="110" w:right="9806"/>
              <w:jc w:val="center"/>
              <w:rPr>
                <w:rFonts w:ascii="Arial" w:hAnsi="Arial" w:cs="Arial"/>
                <w:b/>
              </w:rPr>
            </w:pPr>
            <w:r w:rsidRPr="001439DE">
              <w:rPr>
                <w:rFonts w:ascii="Arial" w:hAnsi="Arial" w:cs="Arial"/>
                <w:b/>
              </w:rPr>
              <w:t>Saarland  -  Lorraine  -  Luxembourg  -  Rheinland-Pfalz  -</w:t>
            </w:r>
          </w:p>
          <w:p w:rsidR="000737F1" w:rsidRPr="009E4702" w:rsidRDefault="000737F1" w:rsidP="00865176">
            <w:pPr>
              <w:tabs>
                <w:tab w:val="left" w:pos="7538"/>
                <w:tab w:val="left" w:pos="7908"/>
              </w:tabs>
              <w:ind w:left="470" w:right="9560"/>
              <w:rPr>
                <w:rFonts w:ascii="Arial" w:hAnsi="Arial" w:cs="Arial"/>
                <w:b/>
                <w:lang w:val="fr-FR"/>
              </w:rPr>
            </w:pPr>
            <w:r w:rsidRPr="001439DE">
              <w:rPr>
                <w:rFonts w:ascii="Arial" w:hAnsi="Arial" w:cs="Arial"/>
                <w:b/>
              </w:rPr>
              <w:t xml:space="preserve">  </w:t>
            </w:r>
            <w:r w:rsidRPr="009E4702">
              <w:rPr>
                <w:rFonts w:ascii="Arial" w:hAnsi="Arial" w:cs="Arial"/>
                <w:b/>
                <w:lang w:val="fr-FR"/>
              </w:rPr>
              <w:t>Wallon</w:t>
            </w:r>
            <w:r>
              <w:rPr>
                <w:rFonts w:ascii="Arial" w:hAnsi="Arial" w:cs="Arial"/>
                <w:b/>
                <w:lang w:val="fr-FR"/>
              </w:rPr>
              <w:t>i</w:t>
            </w:r>
            <w:r w:rsidRPr="009E4702">
              <w:rPr>
                <w:rFonts w:ascii="Arial" w:hAnsi="Arial" w:cs="Arial"/>
                <w:b/>
                <w:lang w:val="fr-FR"/>
              </w:rPr>
              <w:t xml:space="preserve">e </w:t>
            </w:r>
            <w:r>
              <w:rPr>
                <w:rFonts w:ascii="Arial" w:hAnsi="Arial" w:cs="Arial"/>
                <w:b/>
                <w:lang w:val="fr-FR"/>
              </w:rPr>
              <w:t xml:space="preserve"> </w:t>
            </w:r>
            <w:r w:rsidRPr="009E4702">
              <w:rPr>
                <w:rFonts w:ascii="Arial" w:hAnsi="Arial" w:cs="Arial"/>
                <w:b/>
                <w:lang w:val="fr-FR"/>
              </w:rPr>
              <w:t>-</w:t>
            </w:r>
            <w:r>
              <w:rPr>
                <w:rFonts w:ascii="Arial" w:hAnsi="Arial" w:cs="Arial"/>
                <w:b/>
                <w:lang w:val="fr-FR"/>
              </w:rPr>
              <w:t xml:space="preserve"> </w:t>
            </w:r>
            <w:r w:rsidRPr="009E4702">
              <w:rPr>
                <w:rFonts w:ascii="Arial" w:hAnsi="Arial" w:cs="Arial"/>
                <w:b/>
                <w:lang w:val="fr-FR"/>
              </w:rPr>
              <w:t xml:space="preserve"> Communauté Française de </w:t>
            </w:r>
            <w:r>
              <w:rPr>
                <w:rFonts w:ascii="Arial" w:hAnsi="Arial" w:cs="Arial"/>
                <w:b/>
                <w:lang w:val="fr-FR"/>
              </w:rPr>
              <w:t xml:space="preserve">Belgique </w:t>
            </w:r>
            <w:r w:rsidRPr="009E4702">
              <w:rPr>
                <w:rFonts w:ascii="Arial" w:hAnsi="Arial" w:cs="Arial"/>
                <w:b/>
                <w:lang w:val="fr-FR"/>
              </w:rPr>
              <w:t xml:space="preserve"> -</w:t>
            </w:r>
          </w:p>
          <w:p w:rsidR="000737F1" w:rsidRPr="009E4702" w:rsidRDefault="000737F1" w:rsidP="00865176">
            <w:pPr>
              <w:tabs>
                <w:tab w:val="left" w:pos="7538"/>
                <w:tab w:val="left" w:pos="7908"/>
              </w:tabs>
              <w:ind w:left="470" w:right="9806"/>
              <w:rPr>
                <w:rFonts w:ascii="Arial" w:hAnsi="Arial" w:cs="Arial"/>
                <w:b/>
              </w:rPr>
            </w:pPr>
            <w:r w:rsidRPr="00FF0248">
              <w:rPr>
                <w:rFonts w:ascii="Arial" w:hAnsi="Arial" w:cs="Arial"/>
                <w:b/>
                <w:lang w:val="fr-FR"/>
              </w:rPr>
              <w:t xml:space="preserve">       </w:t>
            </w:r>
            <w:r w:rsidRPr="00F85A4F">
              <w:rPr>
                <w:rFonts w:ascii="Arial" w:hAnsi="Arial" w:cs="Arial"/>
                <w:b/>
              </w:rPr>
              <w:t>D</w:t>
            </w:r>
            <w:r w:rsidRPr="009E4702">
              <w:rPr>
                <w:rFonts w:ascii="Arial" w:hAnsi="Arial" w:cs="Arial"/>
                <w:b/>
              </w:rPr>
              <w:t>eutschsprachige Gemeinschaft Belgiens</w:t>
            </w:r>
          </w:p>
          <w:p w:rsidR="000737F1" w:rsidRPr="00FF0248" w:rsidRDefault="000737F1" w:rsidP="00865176">
            <w:pPr>
              <w:ind w:left="110" w:right="8266" w:hanging="71"/>
              <w:jc w:val="both"/>
              <w:rPr>
                <w:sz w:val="16"/>
                <w:szCs w:val="16"/>
              </w:rPr>
            </w:pPr>
            <w:r w:rsidRPr="00FF0248">
              <w:rPr>
                <w:sz w:val="16"/>
                <w:szCs w:val="16"/>
              </w:rPr>
              <w:t xml:space="preserve">      23, rue du Marché-aux-Herbes, L-1728 Luxembourg </w:t>
            </w:r>
            <w:proofErr w:type="spellStart"/>
            <w:r w:rsidRPr="00FF0248">
              <w:rPr>
                <w:sz w:val="16"/>
                <w:szCs w:val="16"/>
              </w:rPr>
              <w:t>Tél</w:t>
            </w:r>
            <w:proofErr w:type="spellEnd"/>
            <w:r w:rsidRPr="00FF0248">
              <w:rPr>
                <w:sz w:val="16"/>
                <w:szCs w:val="16"/>
              </w:rPr>
              <w:t xml:space="preserve"> : (352) 466966-1 Fax : (352) 466966-209 </w:t>
            </w:r>
          </w:p>
          <w:p w:rsidR="000737F1" w:rsidRPr="002865BF" w:rsidRDefault="000737F1" w:rsidP="00865176">
            <w:pPr>
              <w:ind w:right="8888"/>
              <w:jc w:val="both"/>
              <w:rPr>
                <w:sz w:val="28"/>
                <w:szCs w:val="28"/>
              </w:rPr>
            </w:pPr>
            <w:r>
              <w:rPr>
                <w:sz w:val="20"/>
              </w:rPr>
              <w:t xml:space="preserve">   </w:t>
            </w:r>
            <w:r w:rsidRPr="00CD298C">
              <w:rPr>
                <w:sz w:val="20"/>
              </w:rPr>
              <w:t>_____________________________________________________________________</w:t>
            </w:r>
          </w:p>
        </w:tc>
      </w:tr>
    </w:tbl>
    <w:p w:rsidR="000737F1" w:rsidRPr="004D00CE" w:rsidRDefault="000737F1" w:rsidP="000737F1">
      <w:pPr>
        <w:rPr>
          <w:rFonts w:ascii="Arial" w:hAnsi="Arial" w:cs="Arial"/>
          <w:sz w:val="18"/>
          <w:szCs w:val="18"/>
        </w:rPr>
      </w:pPr>
    </w:p>
    <w:p w:rsidR="000737F1" w:rsidRPr="00F26FF7" w:rsidRDefault="000737F1" w:rsidP="000737F1">
      <w:pPr>
        <w:spacing w:line="360" w:lineRule="auto"/>
        <w:jc w:val="center"/>
        <w:rPr>
          <w:rFonts w:ascii="Arial" w:hAnsi="Arial" w:cs="Arial"/>
          <w:b/>
          <w:sz w:val="28"/>
          <w:szCs w:val="28"/>
        </w:rPr>
      </w:pPr>
      <w:r>
        <w:rPr>
          <w:rFonts w:ascii="Arial" w:hAnsi="Arial" w:cs="Arial"/>
          <w:b/>
          <w:sz w:val="28"/>
          <w:szCs w:val="28"/>
        </w:rPr>
        <w:t>Empfehlung</w:t>
      </w:r>
    </w:p>
    <w:p w:rsidR="000737F1" w:rsidRPr="00217E7B" w:rsidRDefault="000737F1" w:rsidP="000737F1">
      <w:pPr>
        <w:spacing w:line="360" w:lineRule="auto"/>
        <w:jc w:val="center"/>
        <w:rPr>
          <w:rFonts w:ascii="Arial" w:hAnsi="Arial" w:cs="Arial"/>
          <w:b/>
          <w:sz w:val="28"/>
          <w:szCs w:val="28"/>
        </w:rPr>
      </w:pPr>
      <w:r w:rsidRPr="00217E7B">
        <w:rPr>
          <w:rFonts w:ascii="Arial" w:hAnsi="Arial" w:cs="Arial"/>
          <w:b/>
          <w:sz w:val="28"/>
          <w:szCs w:val="28"/>
        </w:rPr>
        <w:t>zur</w:t>
      </w:r>
    </w:p>
    <w:p w:rsidR="000737F1" w:rsidRPr="00173330" w:rsidRDefault="000737F1" w:rsidP="000737F1">
      <w:pPr>
        <w:spacing w:line="360" w:lineRule="auto"/>
        <w:jc w:val="center"/>
        <w:rPr>
          <w:rFonts w:ascii="Arial" w:hAnsi="Arial" w:cs="Arial"/>
          <w:b/>
          <w:sz w:val="28"/>
          <w:szCs w:val="28"/>
          <w:u w:val="single"/>
        </w:rPr>
      </w:pPr>
      <w:r w:rsidRPr="00173330">
        <w:rPr>
          <w:rFonts w:ascii="Arial" w:hAnsi="Arial" w:cs="Arial"/>
          <w:b/>
          <w:sz w:val="28"/>
          <w:szCs w:val="28"/>
          <w:u w:val="single"/>
        </w:rPr>
        <w:t>Stadtentwicklung in der Großregion</w:t>
      </w:r>
    </w:p>
    <w:p w:rsidR="000737F1" w:rsidRDefault="000737F1" w:rsidP="000737F1">
      <w:pPr>
        <w:rPr>
          <w:rFonts w:ascii="Arial" w:hAnsi="Arial" w:cs="Arial"/>
        </w:rPr>
      </w:pPr>
    </w:p>
    <w:p w:rsidR="000737F1" w:rsidRDefault="000737F1" w:rsidP="000737F1">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Der </w:t>
      </w:r>
      <w:r w:rsidRPr="003B4DE6">
        <w:rPr>
          <w:rFonts w:ascii="Arial" w:hAnsi="Arial" w:cs="Arial"/>
          <w:b/>
          <w:sz w:val="22"/>
          <w:szCs w:val="22"/>
        </w:rPr>
        <w:t>Interregionale Parlamentarier-Rat</w:t>
      </w:r>
      <w:r>
        <w:rPr>
          <w:rFonts w:ascii="Arial" w:hAnsi="Arial" w:cs="Arial"/>
          <w:sz w:val="22"/>
          <w:szCs w:val="22"/>
        </w:rPr>
        <w:t xml:space="preserve"> versteht „</w:t>
      </w:r>
      <w:r w:rsidRPr="003B4DE6">
        <w:rPr>
          <w:rFonts w:ascii="Arial" w:hAnsi="Arial" w:cs="Arial"/>
          <w:bCs/>
          <w:sz w:val="22"/>
          <w:szCs w:val="22"/>
        </w:rPr>
        <w:t>Stadtentwicklung</w:t>
      </w:r>
      <w:r>
        <w:rPr>
          <w:rFonts w:ascii="Arial" w:hAnsi="Arial" w:cs="Arial"/>
          <w:bCs/>
          <w:sz w:val="22"/>
          <w:szCs w:val="22"/>
        </w:rPr>
        <w:t>“</w:t>
      </w:r>
      <w:r w:rsidRPr="00DA7FA8">
        <w:rPr>
          <w:rFonts w:ascii="Arial" w:hAnsi="Arial" w:cs="Arial"/>
          <w:sz w:val="22"/>
          <w:szCs w:val="22"/>
        </w:rPr>
        <w:t xml:space="preserve"> </w:t>
      </w:r>
      <w:r>
        <w:rPr>
          <w:rFonts w:ascii="Arial" w:hAnsi="Arial" w:cs="Arial"/>
          <w:sz w:val="22"/>
          <w:szCs w:val="22"/>
        </w:rPr>
        <w:t>als</w:t>
      </w:r>
      <w:r w:rsidRPr="00DA7FA8">
        <w:rPr>
          <w:rFonts w:ascii="Arial" w:hAnsi="Arial" w:cs="Arial"/>
          <w:sz w:val="22"/>
          <w:szCs w:val="22"/>
        </w:rPr>
        <w:t xml:space="preserve"> die räumliche, historische </w:t>
      </w:r>
      <w:r>
        <w:rPr>
          <w:rFonts w:ascii="Arial" w:hAnsi="Arial" w:cs="Arial"/>
          <w:sz w:val="22"/>
          <w:szCs w:val="22"/>
        </w:rPr>
        <w:t>und</w:t>
      </w:r>
      <w:r w:rsidRPr="00DA7FA8">
        <w:rPr>
          <w:rFonts w:ascii="Arial" w:hAnsi="Arial" w:cs="Arial"/>
          <w:sz w:val="22"/>
          <w:szCs w:val="22"/>
        </w:rPr>
        <w:t xml:space="preserve"> strukturelle Gesamtentwicklung einer</w:t>
      </w:r>
      <w:r>
        <w:rPr>
          <w:rFonts w:ascii="Arial" w:hAnsi="Arial" w:cs="Arial"/>
          <w:sz w:val="22"/>
          <w:szCs w:val="22"/>
        </w:rPr>
        <w:t xml:space="preserve"> Stadt. Dar</w:t>
      </w:r>
      <w:r w:rsidRPr="00DA7FA8">
        <w:rPr>
          <w:rFonts w:ascii="Arial" w:hAnsi="Arial" w:cs="Arial"/>
          <w:sz w:val="22"/>
          <w:szCs w:val="22"/>
        </w:rPr>
        <w:t xml:space="preserve">unter </w:t>
      </w:r>
      <w:r>
        <w:rPr>
          <w:rFonts w:ascii="Arial" w:hAnsi="Arial" w:cs="Arial"/>
          <w:sz w:val="22"/>
          <w:szCs w:val="22"/>
        </w:rPr>
        <w:t>wird</w:t>
      </w:r>
      <w:r w:rsidRPr="00DA7FA8">
        <w:rPr>
          <w:rFonts w:ascii="Arial" w:hAnsi="Arial" w:cs="Arial"/>
          <w:sz w:val="22"/>
          <w:szCs w:val="22"/>
        </w:rPr>
        <w:t xml:space="preserve"> die Planung und </w:t>
      </w:r>
      <w:r>
        <w:rPr>
          <w:rFonts w:ascii="Arial" w:hAnsi="Arial" w:cs="Arial"/>
          <w:sz w:val="22"/>
          <w:szCs w:val="22"/>
        </w:rPr>
        <w:t xml:space="preserve">die </w:t>
      </w:r>
      <w:r w:rsidRPr="00DA7FA8">
        <w:rPr>
          <w:rFonts w:ascii="Arial" w:hAnsi="Arial" w:cs="Arial"/>
          <w:sz w:val="22"/>
          <w:szCs w:val="22"/>
        </w:rPr>
        <w:t>Entwicklung der gesamten Stadt</w:t>
      </w:r>
      <w:r>
        <w:rPr>
          <w:rFonts w:ascii="Arial" w:hAnsi="Arial" w:cs="Arial"/>
          <w:sz w:val="22"/>
          <w:szCs w:val="22"/>
        </w:rPr>
        <w:t>, aber auch</w:t>
      </w:r>
      <w:r w:rsidRPr="00DA7FA8">
        <w:rPr>
          <w:rFonts w:ascii="Arial" w:hAnsi="Arial" w:cs="Arial"/>
          <w:sz w:val="22"/>
          <w:szCs w:val="22"/>
        </w:rPr>
        <w:t xml:space="preserve"> die Entwicklung einzelner </w:t>
      </w:r>
      <w:r>
        <w:rPr>
          <w:rFonts w:ascii="Arial" w:hAnsi="Arial" w:cs="Arial"/>
          <w:sz w:val="22"/>
          <w:szCs w:val="22"/>
        </w:rPr>
        <w:t>Stadtquartiere verstanden</w:t>
      </w:r>
      <w:r w:rsidRPr="00DA7FA8">
        <w:rPr>
          <w:rFonts w:ascii="Arial" w:hAnsi="Arial" w:cs="Arial"/>
          <w:sz w:val="22"/>
          <w:szCs w:val="22"/>
        </w:rPr>
        <w:t>.</w:t>
      </w:r>
      <w:r>
        <w:rPr>
          <w:rFonts w:ascii="Arial" w:hAnsi="Arial" w:cs="Arial"/>
          <w:sz w:val="22"/>
          <w:szCs w:val="22"/>
        </w:rPr>
        <w:t xml:space="preserve"> </w:t>
      </w:r>
      <w:r w:rsidRPr="00DA7FA8">
        <w:rPr>
          <w:rFonts w:ascii="Arial" w:hAnsi="Arial" w:cs="Arial"/>
          <w:sz w:val="22"/>
          <w:szCs w:val="22"/>
        </w:rPr>
        <w:t>Stadtentwicklung steht durch gesellschaftliche Tendenzen wie de</w:t>
      </w:r>
      <w:r>
        <w:rPr>
          <w:rFonts w:ascii="Arial" w:hAnsi="Arial" w:cs="Arial"/>
          <w:sz w:val="22"/>
          <w:szCs w:val="22"/>
        </w:rPr>
        <w:t>n Klimawandel und demografischen</w:t>
      </w:r>
      <w:r w:rsidRPr="00DA7FA8">
        <w:rPr>
          <w:rFonts w:ascii="Arial" w:hAnsi="Arial" w:cs="Arial"/>
          <w:sz w:val="22"/>
          <w:szCs w:val="22"/>
        </w:rPr>
        <w:t xml:space="preserve"> Wandel, die</w:t>
      </w:r>
      <w:r>
        <w:rPr>
          <w:rFonts w:ascii="Arial" w:hAnsi="Arial" w:cs="Arial"/>
          <w:sz w:val="22"/>
          <w:szCs w:val="22"/>
        </w:rPr>
        <w:t xml:space="preserve"> Globalisierung</w:t>
      </w:r>
      <w:r w:rsidRPr="00DA7FA8">
        <w:rPr>
          <w:rFonts w:ascii="Arial" w:hAnsi="Arial" w:cs="Arial"/>
          <w:sz w:val="22"/>
          <w:szCs w:val="22"/>
        </w:rPr>
        <w:t>, d</w:t>
      </w:r>
      <w:r>
        <w:rPr>
          <w:rFonts w:ascii="Arial" w:hAnsi="Arial" w:cs="Arial"/>
          <w:sz w:val="22"/>
          <w:szCs w:val="22"/>
        </w:rPr>
        <w:t>i</w:t>
      </w:r>
      <w:r w:rsidRPr="00DA7FA8">
        <w:rPr>
          <w:rFonts w:ascii="Arial" w:hAnsi="Arial" w:cs="Arial"/>
          <w:sz w:val="22"/>
          <w:szCs w:val="22"/>
        </w:rPr>
        <w:t xml:space="preserve">e Verankerung der Nachhaltigkeit </w:t>
      </w:r>
      <w:r>
        <w:rPr>
          <w:rFonts w:ascii="Arial" w:hAnsi="Arial" w:cs="Arial"/>
          <w:sz w:val="22"/>
          <w:szCs w:val="22"/>
        </w:rPr>
        <w:t>und nicht zuletzt eine</w:t>
      </w:r>
      <w:r w:rsidRPr="00DA7FA8">
        <w:rPr>
          <w:rFonts w:ascii="Arial" w:hAnsi="Arial" w:cs="Arial"/>
          <w:sz w:val="22"/>
          <w:szCs w:val="22"/>
        </w:rPr>
        <w:t xml:space="preserve"> neue Beteiligungskultur (Bürgerbeteiligung) vor neuen Herausforderungen.</w:t>
      </w:r>
    </w:p>
    <w:p w:rsidR="000737F1" w:rsidRDefault="000737F1" w:rsidP="000737F1">
      <w:pPr>
        <w:pStyle w:val="NormalWeb"/>
        <w:spacing w:before="0" w:beforeAutospacing="0" w:after="0" w:afterAutospacing="0"/>
        <w:jc w:val="both"/>
        <w:rPr>
          <w:rFonts w:ascii="Arial" w:hAnsi="Arial" w:cs="Arial"/>
          <w:sz w:val="22"/>
          <w:szCs w:val="22"/>
        </w:rPr>
      </w:pPr>
      <w:r w:rsidRPr="00DA7FA8">
        <w:rPr>
          <w:rFonts w:ascii="Arial" w:hAnsi="Arial" w:cs="Arial"/>
          <w:sz w:val="22"/>
          <w:szCs w:val="22"/>
        </w:rPr>
        <w:t xml:space="preserve">Stadtentwicklung verlangt </w:t>
      </w:r>
      <w:r>
        <w:rPr>
          <w:rFonts w:ascii="Arial" w:hAnsi="Arial" w:cs="Arial"/>
          <w:sz w:val="22"/>
          <w:szCs w:val="22"/>
        </w:rPr>
        <w:t>daher von allen Akteuren</w:t>
      </w:r>
      <w:r w:rsidRPr="00DA7FA8">
        <w:rPr>
          <w:rFonts w:ascii="Arial" w:hAnsi="Arial" w:cs="Arial"/>
          <w:sz w:val="22"/>
          <w:szCs w:val="22"/>
        </w:rPr>
        <w:t xml:space="preserve"> eine interdisziplinäre, integrierte und </w:t>
      </w:r>
      <w:proofErr w:type="spellStart"/>
      <w:r w:rsidRPr="00DA7FA8">
        <w:rPr>
          <w:rFonts w:ascii="Arial" w:hAnsi="Arial" w:cs="Arial"/>
          <w:sz w:val="22"/>
          <w:szCs w:val="22"/>
        </w:rPr>
        <w:t>zukunftsgerichtete</w:t>
      </w:r>
      <w:proofErr w:type="spellEnd"/>
      <w:r w:rsidRPr="00DA7FA8">
        <w:rPr>
          <w:rFonts w:ascii="Arial" w:hAnsi="Arial" w:cs="Arial"/>
          <w:sz w:val="22"/>
          <w:szCs w:val="22"/>
        </w:rPr>
        <w:t xml:space="preserve"> Herangehensweise.</w:t>
      </w:r>
    </w:p>
    <w:p w:rsidR="000737F1" w:rsidRDefault="000737F1" w:rsidP="000737F1">
      <w:pPr>
        <w:pStyle w:val="NormalWeb"/>
        <w:spacing w:before="0" w:beforeAutospacing="0" w:after="0" w:afterAutospacing="0"/>
        <w:jc w:val="both"/>
        <w:rPr>
          <w:rFonts w:ascii="Arial" w:hAnsi="Arial" w:cs="Arial"/>
          <w:sz w:val="22"/>
          <w:szCs w:val="22"/>
        </w:rPr>
      </w:pPr>
    </w:p>
    <w:p w:rsidR="000737F1" w:rsidRPr="00BB7BE7" w:rsidRDefault="000737F1" w:rsidP="000737F1">
      <w:pPr>
        <w:pStyle w:val="NormalWeb"/>
        <w:spacing w:before="0" w:beforeAutospacing="0" w:after="0" w:afterAutospacing="0"/>
        <w:jc w:val="both"/>
        <w:rPr>
          <w:rFonts w:ascii="Arial" w:hAnsi="Arial" w:cs="Arial"/>
          <w:b/>
          <w:sz w:val="22"/>
          <w:szCs w:val="22"/>
        </w:rPr>
      </w:pPr>
      <w:r w:rsidRPr="00BB7BE7">
        <w:rPr>
          <w:rFonts w:ascii="Arial" w:hAnsi="Arial" w:cs="Arial"/>
          <w:b/>
          <w:sz w:val="22"/>
          <w:szCs w:val="22"/>
        </w:rPr>
        <w:t>1.</w:t>
      </w:r>
    </w:p>
    <w:p w:rsidR="000737F1" w:rsidRDefault="000737F1" w:rsidP="000737F1">
      <w:pPr>
        <w:pStyle w:val="NormalWeb"/>
        <w:spacing w:before="0" w:beforeAutospacing="0" w:after="0" w:afterAutospacing="0"/>
        <w:jc w:val="both"/>
        <w:rPr>
          <w:rFonts w:ascii="Arial" w:hAnsi="Arial" w:cs="Arial"/>
          <w:sz w:val="22"/>
          <w:szCs w:val="22"/>
        </w:rPr>
      </w:pPr>
    </w:p>
    <w:p w:rsidR="000737F1" w:rsidRDefault="000737F1" w:rsidP="000737F1">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Der </w:t>
      </w:r>
      <w:r w:rsidRPr="001F4825">
        <w:rPr>
          <w:rFonts w:ascii="Arial" w:hAnsi="Arial" w:cs="Arial"/>
          <w:b/>
          <w:sz w:val="22"/>
          <w:szCs w:val="22"/>
        </w:rPr>
        <w:t>Interregionale Parlamentarier-Rat</w:t>
      </w:r>
      <w:r>
        <w:rPr>
          <w:rFonts w:ascii="Arial" w:hAnsi="Arial" w:cs="Arial"/>
          <w:sz w:val="22"/>
          <w:szCs w:val="22"/>
        </w:rPr>
        <w:t xml:space="preserve"> hat zu der Sitzung seiner Kommissionen für Verkehr und Kommunikation sowie für wirtschaftliche Fragen am 30. September 2011 in Nancy Experten für Stadtentwicklung aus allen Teilen der Großregion zu ihren Konzepten und Zukunftsprojekten eingeladen.</w:t>
      </w:r>
    </w:p>
    <w:p w:rsidR="000737F1" w:rsidRDefault="000737F1" w:rsidP="000737F1">
      <w:pPr>
        <w:jc w:val="both"/>
        <w:rPr>
          <w:rFonts w:ascii="Arial" w:hAnsi="Arial" w:cs="Arial"/>
          <w:sz w:val="22"/>
          <w:szCs w:val="22"/>
        </w:rPr>
      </w:pPr>
      <w:r>
        <w:rPr>
          <w:rFonts w:ascii="Arial" w:hAnsi="Arial" w:cs="Arial"/>
          <w:sz w:val="22"/>
          <w:szCs w:val="22"/>
        </w:rPr>
        <w:t>Gemeinsames Ergebnis der Sitzung war die Feststellung, dass eine Stadtentwicklung nicht getrennt von den Veränderungen in der Verkehrsinfrastruktur erfolgen kann.</w:t>
      </w:r>
    </w:p>
    <w:p w:rsidR="000737F1" w:rsidRPr="001F4825" w:rsidRDefault="000737F1" w:rsidP="000737F1">
      <w:pPr>
        <w:pStyle w:val="NormalWeb"/>
        <w:spacing w:before="0" w:beforeAutospacing="0" w:after="0" w:afterAutospacing="0"/>
        <w:jc w:val="both"/>
        <w:rPr>
          <w:rFonts w:ascii="Arial" w:hAnsi="Arial" w:cs="Arial"/>
          <w:sz w:val="22"/>
          <w:szCs w:val="22"/>
        </w:rPr>
      </w:pPr>
      <w:r w:rsidRPr="001F4825">
        <w:rPr>
          <w:rFonts w:ascii="Arial" w:hAnsi="Arial" w:cs="Arial"/>
          <w:sz w:val="22"/>
          <w:szCs w:val="22"/>
        </w:rPr>
        <w:t xml:space="preserve">Unisono haben </w:t>
      </w:r>
      <w:r>
        <w:rPr>
          <w:rFonts w:ascii="Arial" w:hAnsi="Arial" w:cs="Arial"/>
          <w:sz w:val="22"/>
          <w:szCs w:val="22"/>
        </w:rPr>
        <w:t xml:space="preserve">nämlich </w:t>
      </w:r>
      <w:r w:rsidRPr="001F4825">
        <w:rPr>
          <w:rFonts w:ascii="Arial" w:hAnsi="Arial" w:cs="Arial"/>
          <w:sz w:val="22"/>
          <w:szCs w:val="22"/>
        </w:rPr>
        <w:t>alle Ex</w:t>
      </w:r>
      <w:r>
        <w:rPr>
          <w:rFonts w:ascii="Arial" w:hAnsi="Arial" w:cs="Arial"/>
          <w:sz w:val="22"/>
          <w:szCs w:val="22"/>
        </w:rPr>
        <w:t xml:space="preserve">perten einen engen Zusammenhang zwischen Entwicklung und Mobilität </w:t>
      </w:r>
      <w:r w:rsidRPr="001F4825">
        <w:rPr>
          <w:rFonts w:ascii="Arial" w:hAnsi="Arial" w:cs="Arial"/>
          <w:sz w:val="22"/>
          <w:szCs w:val="22"/>
        </w:rPr>
        <w:t xml:space="preserve">bescheinigt, wenn auch die Vorstellungen darüber, was einen modernen Stadtverkehr bestimmen sollte, zum Teil auseinander gehen. Während einerseits die Hoffnung besteht, dass die Informationstechnologien eine moderne </w:t>
      </w:r>
      <w:r>
        <w:rPr>
          <w:rFonts w:ascii="Arial" w:hAnsi="Arial" w:cs="Arial"/>
          <w:sz w:val="22"/>
          <w:szCs w:val="22"/>
        </w:rPr>
        <w:t xml:space="preserve">Abwicklung der Mobilität </w:t>
      </w:r>
      <w:r w:rsidRPr="001F4825">
        <w:rPr>
          <w:rFonts w:ascii="Arial" w:hAnsi="Arial" w:cs="Arial"/>
          <w:sz w:val="22"/>
          <w:szCs w:val="22"/>
        </w:rPr>
        <w:t>in Städten ermöglichen könnten (z.B. Telematik, Kfz-Leitsysteme</w:t>
      </w:r>
      <w:r>
        <w:rPr>
          <w:rFonts w:ascii="Arial" w:hAnsi="Arial" w:cs="Arial"/>
          <w:sz w:val="22"/>
          <w:szCs w:val="22"/>
        </w:rPr>
        <w:t>, Car-Sharing-Modelle, etc.</w:t>
      </w:r>
      <w:r w:rsidRPr="001F4825">
        <w:rPr>
          <w:rFonts w:ascii="Arial" w:hAnsi="Arial" w:cs="Arial"/>
          <w:sz w:val="22"/>
          <w:szCs w:val="22"/>
        </w:rPr>
        <w:t>), gibt es andererseits auch Forderungen z.</w:t>
      </w:r>
      <w:r>
        <w:rPr>
          <w:rFonts w:ascii="Arial" w:hAnsi="Arial" w:cs="Arial"/>
          <w:sz w:val="22"/>
          <w:szCs w:val="22"/>
        </w:rPr>
        <w:t xml:space="preserve"> </w:t>
      </w:r>
      <w:r w:rsidRPr="001F4825">
        <w:rPr>
          <w:rFonts w:ascii="Arial" w:hAnsi="Arial" w:cs="Arial"/>
          <w:sz w:val="22"/>
          <w:szCs w:val="22"/>
        </w:rPr>
        <w:t>B. nach autofreien Städten, generellen Tempolimits für Kfz oder</w:t>
      </w:r>
      <w:r>
        <w:rPr>
          <w:rFonts w:ascii="Arial" w:hAnsi="Arial" w:cs="Arial"/>
          <w:sz w:val="22"/>
          <w:szCs w:val="22"/>
        </w:rPr>
        <w:t xml:space="preserve"> die Entwicklung alternativer öffentlicher Verkehrsangebote</w:t>
      </w:r>
      <w:r w:rsidRPr="001F4825">
        <w:rPr>
          <w:rFonts w:ascii="Arial" w:hAnsi="Arial" w:cs="Arial"/>
          <w:sz w:val="22"/>
          <w:szCs w:val="22"/>
        </w:rPr>
        <w:t>.</w:t>
      </w:r>
    </w:p>
    <w:p w:rsidR="000737F1" w:rsidRDefault="000737F1" w:rsidP="000737F1">
      <w:pPr>
        <w:jc w:val="both"/>
        <w:rPr>
          <w:rFonts w:ascii="Arial" w:hAnsi="Arial" w:cs="Arial"/>
          <w:sz w:val="22"/>
          <w:szCs w:val="22"/>
        </w:rPr>
      </w:pPr>
    </w:p>
    <w:p w:rsidR="000737F1" w:rsidRDefault="000737F1" w:rsidP="000737F1">
      <w:pPr>
        <w:jc w:val="both"/>
        <w:rPr>
          <w:rFonts w:ascii="Arial" w:hAnsi="Arial" w:cs="Arial"/>
          <w:sz w:val="22"/>
          <w:szCs w:val="22"/>
        </w:rPr>
      </w:pPr>
      <w:r>
        <w:rPr>
          <w:rFonts w:ascii="Arial" w:hAnsi="Arial" w:cs="Arial"/>
          <w:sz w:val="22"/>
          <w:szCs w:val="22"/>
        </w:rPr>
        <w:t xml:space="preserve">Mit ungläubigem Erstaunen hat der </w:t>
      </w:r>
      <w:r w:rsidRPr="001F4825">
        <w:rPr>
          <w:rFonts w:ascii="Arial" w:hAnsi="Arial" w:cs="Arial"/>
          <w:b/>
          <w:sz w:val="22"/>
          <w:szCs w:val="22"/>
        </w:rPr>
        <w:t>Interregionale Parlamentarier-Rat</w:t>
      </w:r>
      <w:r>
        <w:rPr>
          <w:rFonts w:ascii="Arial" w:hAnsi="Arial" w:cs="Arial"/>
          <w:sz w:val="22"/>
          <w:szCs w:val="22"/>
        </w:rPr>
        <w:t xml:space="preserve"> zur Kenntnis genommen, dass im jetzigen Programm des Europäischen Fonds für Regionale Entwicklung (EFRE) zur Stärkung der wirtschaftlichen Leistungsfähigkeit der Regionen Straßenbau- und Verkehrsinfrastrukturprojekte, mit denen die in der Vorbemerkung genannten Herausforderungen bewältigt werden können, gerade ausgenommen sind.</w:t>
      </w:r>
    </w:p>
    <w:p w:rsidR="000737F1" w:rsidRDefault="000737F1" w:rsidP="000737F1">
      <w:pPr>
        <w:jc w:val="both"/>
        <w:rPr>
          <w:rFonts w:ascii="Arial" w:hAnsi="Arial" w:cs="Arial"/>
          <w:sz w:val="22"/>
          <w:szCs w:val="22"/>
        </w:rPr>
      </w:pPr>
    </w:p>
    <w:p w:rsidR="000737F1" w:rsidRDefault="000737F1" w:rsidP="000737F1">
      <w:pPr>
        <w:jc w:val="both"/>
        <w:rPr>
          <w:rFonts w:ascii="Arial" w:hAnsi="Arial" w:cs="Arial"/>
          <w:sz w:val="22"/>
          <w:szCs w:val="22"/>
        </w:rPr>
      </w:pPr>
      <w:r>
        <w:rPr>
          <w:rFonts w:ascii="Arial" w:hAnsi="Arial" w:cs="Arial"/>
          <w:sz w:val="22"/>
          <w:szCs w:val="22"/>
        </w:rPr>
        <w:t xml:space="preserve">Der </w:t>
      </w:r>
      <w:r w:rsidRPr="001F4825">
        <w:rPr>
          <w:rFonts w:ascii="Arial" w:hAnsi="Arial" w:cs="Arial"/>
          <w:b/>
          <w:sz w:val="22"/>
          <w:szCs w:val="22"/>
        </w:rPr>
        <w:t>Interregionale Parlamentarier-Rat</w:t>
      </w:r>
      <w:r>
        <w:rPr>
          <w:rFonts w:ascii="Arial" w:hAnsi="Arial" w:cs="Arial"/>
          <w:b/>
          <w:sz w:val="22"/>
          <w:szCs w:val="22"/>
        </w:rPr>
        <w:t xml:space="preserve"> </w:t>
      </w:r>
      <w:r>
        <w:rPr>
          <w:rFonts w:ascii="Arial" w:hAnsi="Arial" w:cs="Arial"/>
          <w:sz w:val="22"/>
          <w:szCs w:val="22"/>
        </w:rPr>
        <w:t>setzt sich deshalb insbesondere auch bei künftigen EU-Förderprogrammen für eine stärkere Verknüpfung der städtebaulichen Entwicklung mit der Verkehrsinfrastruktur ein.</w:t>
      </w:r>
    </w:p>
    <w:p w:rsidR="000737F1" w:rsidRDefault="000737F1" w:rsidP="000737F1">
      <w:pPr>
        <w:jc w:val="both"/>
        <w:rPr>
          <w:rFonts w:ascii="Arial" w:hAnsi="Arial" w:cs="Arial"/>
          <w:sz w:val="22"/>
          <w:szCs w:val="22"/>
        </w:rPr>
      </w:pPr>
    </w:p>
    <w:p w:rsidR="000737F1" w:rsidRDefault="000737F1" w:rsidP="000737F1">
      <w:pPr>
        <w:jc w:val="both"/>
        <w:rPr>
          <w:rFonts w:ascii="Arial" w:hAnsi="Arial" w:cs="Arial"/>
          <w:sz w:val="22"/>
          <w:szCs w:val="22"/>
        </w:rPr>
      </w:pPr>
    </w:p>
    <w:p w:rsidR="000737F1" w:rsidRDefault="000737F1" w:rsidP="000737F1">
      <w:pPr>
        <w:jc w:val="both"/>
        <w:rPr>
          <w:rFonts w:ascii="Arial" w:hAnsi="Arial" w:cs="Arial"/>
          <w:sz w:val="22"/>
          <w:szCs w:val="22"/>
        </w:rPr>
      </w:pPr>
    </w:p>
    <w:p w:rsidR="000737F1" w:rsidRDefault="000737F1" w:rsidP="000737F1">
      <w:pPr>
        <w:jc w:val="both"/>
        <w:rPr>
          <w:rFonts w:ascii="Arial" w:hAnsi="Arial" w:cs="Arial"/>
          <w:sz w:val="22"/>
          <w:szCs w:val="22"/>
        </w:rPr>
      </w:pPr>
    </w:p>
    <w:p w:rsidR="000737F1" w:rsidRDefault="000737F1" w:rsidP="000737F1">
      <w:pPr>
        <w:jc w:val="both"/>
        <w:rPr>
          <w:rFonts w:ascii="Arial" w:hAnsi="Arial" w:cs="Arial"/>
          <w:sz w:val="22"/>
          <w:szCs w:val="22"/>
        </w:rPr>
      </w:pPr>
    </w:p>
    <w:p w:rsidR="000737F1" w:rsidRPr="00BB7BE7" w:rsidRDefault="000737F1" w:rsidP="000737F1">
      <w:pPr>
        <w:jc w:val="both"/>
        <w:rPr>
          <w:rFonts w:ascii="Arial" w:hAnsi="Arial" w:cs="Arial"/>
          <w:b/>
          <w:sz w:val="22"/>
          <w:szCs w:val="22"/>
        </w:rPr>
      </w:pPr>
      <w:r w:rsidRPr="00BB7BE7">
        <w:rPr>
          <w:rFonts w:ascii="Arial" w:hAnsi="Arial" w:cs="Arial"/>
          <w:b/>
          <w:sz w:val="22"/>
          <w:szCs w:val="22"/>
        </w:rPr>
        <w:lastRenderedPageBreak/>
        <w:t>2.</w:t>
      </w:r>
    </w:p>
    <w:p w:rsidR="000737F1" w:rsidRDefault="000737F1" w:rsidP="000737F1">
      <w:pPr>
        <w:jc w:val="both"/>
        <w:rPr>
          <w:rFonts w:ascii="Arial" w:hAnsi="Arial" w:cs="Arial"/>
          <w:sz w:val="22"/>
          <w:szCs w:val="22"/>
        </w:rPr>
      </w:pPr>
    </w:p>
    <w:p w:rsidR="000737F1" w:rsidRDefault="000737F1" w:rsidP="000737F1">
      <w:pPr>
        <w:jc w:val="both"/>
        <w:rPr>
          <w:rFonts w:ascii="Arial" w:hAnsi="Arial" w:cs="Arial"/>
          <w:sz w:val="22"/>
          <w:szCs w:val="22"/>
        </w:rPr>
      </w:pPr>
      <w:r>
        <w:rPr>
          <w:rFonts w:ascii="Arial" w:hAnsi="Arial" w:cs="Arial"/>
          <w:sz w:val="22"/>
          <w:szCs w:val="22"/>
        </w:rPr>
        <w:t xml:space="preserve">In der Kommissionssitzung des </w:t>
      </w:r>
      <w:r w:rsidRPr="001F4825">
        <w:rPr>
          <w:rFonts w:ascii="Arial" w:hAnsi="Arial" w:cs="Arial"/>
          <w:b/>
          <w:sz w:val="22"/>
          <w:szCs w:val="22"/>
        </w:rPr>
        <w:t>Interregionale Parlamentarier-Rat</w:t>
      </w:r>
      <w:r>
        <w:rPr>
          <w:rFonts w:ascii="Arial" w:hAnsi="Arial" w:cs="Arial"/>
          <w:b/>
          <w:sz w:val="22"/>
          <w:szCs w:val="22"/>
        </w:rPr>
        <w:t>es</w:t>
      </w:r>
      <w:r>
        <w:rPr>
          <w:rFonts w:ascii="Arial" w:hAnsi="Arial" w:cs="Arial"/>
          <w:sz w:val="22"/>
          <w:szCs w:val="22"/>
        </w:rPr>
        <w:t xml:space="preserve"> am 30. September 2011 in Nancy wurde zudem von den Experten für Stadtentwicklung das im Rahmen des Arbeitsprogramm</w:t>
      </w:r>
      <w:r w:rsidRPr="00DA7FA8">
        <w:rPr>
          <w:rFonts w:ascii="Arial" w:hAnsi="Arial" w:cs="Arial"/>
          <w:sz w:val="22"/>
          <w:szCs w:val="22"/>
        </w:rPr>
        <w:t>s der luxemburgischen Präsidentschaft des 11. Gipfels initiiert</w:t>
      </w:r>
      <w:r>
        <w:rPr>
          <w:rFonts w:ascii="Arial" w:hAnsi="Arial" w:cs="Arial"/>
          <w:sz w:val="22"/>
          <w:szCs w:val="22"/>
        </w:rPr>
        <w:t>e</w:t>
      </w:r>
      <w:r w:rsidRPr="00DA7FA8">
        <w:rPr>
          <w:rFonts w:ascii="Arial" w:hAnsi="Arial" w:cs="Arial"/>
          <w:sz w:val="22"/>
          <w:szCs w:val="22"/>
        </w:rPr>
        <w:t xml:space="preserve"> </w:t>
      </w:r>
      <w:r>
        <w:rPr>
          <w:rFonts w:ascii="Arial" w:hAnsi="Arial" w:cs="Arial"/>
          <w:sz w:val="22"/>
          <w:szCs w:val="22"/>
        </w:rPr>
        <w:t>Metroborder-Projekt als Schritt in die richtige Richtung einer gemeinsamen grenzüberschreitenden Raumplanung begrüßt.</w:t>
      </w:r>
    </w:p>
    <w:p w:rsidR="000737F1" w:rsidRPr="00DA7FA8" w:rsidRDefault="000737F1" w:rsidP="000737F1">
      <w:pPr>
        <w:jc w:val="both"/>
        <w:rPr>
          <w:rFonts w:ascii="Arial" w:hAnsi="Arial" w:cs="Arial"/>
          <w:sz w:val="22"/>
          <w:szCs w:val="22"/>
        </w:rPr>
      </w:pPr>
    </w:p>
    <w:p w:rsidR="000737F1" w:rsidRDefault="000737F1" w:rsidP="000737F1">
      <w:pPr>
        <w:jc w:val="both"/>
        <w:rPr>
          <w:rFonts w:ascii="Arial" w:hAnsi="Arial" w:cs="Arial"/>
          <w:sz w:val="22"/>
          <w:szCs w:val="22"/>
        </w:rPr>
      </w:pPr>
      <w:r w:rsidRPr="00DA7FA8">
        <w:rPr>
          <w:rFonts w:ascii="Arial" w:hAnsi="Arial" w:cs="Arial"/>
          <w:sz w:val="22"/>
          <w:szCs w:val="22"/>
        </w:rPr>
        <w:t xml:space="preserve">Der </w:t>
      </w:r>
      <w:r w:rsidRPr="0081347B">
        <w:rPr>
          <w:rFonts w:ascii="Arial" w:hAnsi="Arial" w:cs="Arial"/>
          <w:b/>
          <w:sz w:val="22"/>
          <w:szCs w:val="22"/>
        </w:rPr>
        <w:t>Interregionale Parlamentarier-Rat</w:t>
      </w:r>
      <w:r w:rsidRPr="00DA7FA8">
        <w:rPr>
          <w:rFonts w:ascii="Arial" w:hAnsi="Arial" w:cs="Arial"/>
          <w:sz w:val="22"/>
          <w:szCs w:val="22"/>
        </w:rPr>
        <w:t xml:space="preserve"> nimmt den Schlussbericht d</w:t>
      </w:r>
      <w:r>
        <w:rPr>
          <w:rFonts w:ascii="Arial" w:hAnsi="Arial" w:cs="Arial"/>
          <w:sz w:val="22"/>
          <w:szCs w:val="22"/>
        </w:rPr>
        <w:t>ies</w:t>
      </w:r>
      <w:r w:rsidRPr="00DA7FA8">
        <w:rPr>
          <w:rFonts w:ascii="Arial" w:hAnsi="Arial" w:cs="Arial"/>
          <w:sz w:val="22"/>
          <w:szCs w:val="22"/>
        </w:rPr>
        <w:t>er in den Jahren 2009 und 2010 durchgeführten Metroborder-Studie zustimmend zur Kenntnis.</w:t>
      </w:r>
    </w:p>
    <w:p w:rsidR="000737F1" w:rsidRPr="00DA7FA8" w:rsidRDefault="000737F1" w:rsidP="000737F1">
      <w:pPr>
        <w:jc w:val="both"/>
        <w:rPr>
          <w:rFonts w:ascii="Arial" w:hAnsi="Arial" w:cs="Arial"/>
          <w:sz w:val="22"/>
          <w:szCs w:val="22"/>
        </w:rPr>
      </w:pPr>
      <w:r>
        <w:rPr>
          <w:rFonts w:ascii="Arial" w:hAnsi="Arial" w:cs="Arial"/>
          <w:sz w:val="22"/>
          <w:szCs w:val="22"/>
        </w:rPr>
        <w:t>In ihm</w:t>
      </w:r>
      <w:r w:rsidRPr="00DA7FA8">
        <w:rPr>
          <w:rFonts w:ascii="Arial" w:hAnsi="Arial" w:cs="Arial"/>
          <w:sz w:val="22"/>
          <w:szCs w:val="22"/>
        </w:rPr>
        <w:t xml:space="preserve"> wird bescheinigt, dass sich die europäische Raumpolitik und die Ansätze auf gemeinschaftliche Ebene in den letzten Jahren stark weiterentwickelt haben. Schlüsselrollen kommen dabei einerseits Metropolen oder Metropolräumen zu, andererseits aber auch Grenzregionen. Beide Aspekte verbindet die Großregion als </w:t>
      </w:r>
      <w:proofErr w:type="spellStart"/>
      <w:r w:rsidRPr="00DA7FA8">
        <w:rPr>
          <w:rFonts w:ascii="Arial" w:hAnsi="Arial" w:cs="Arial"/>
          <w:sz w:val="22"/>
          <w:szCs w:val="22"/>
        </w:rPr>
        <w:t>metropolitane</w:t>
      </w:r>
      <w:proofErr w:type="spellEnd"/>
      <w:r w:rsidRPr="00DA7FA8">
        <w:rPr>
          <w:rFonts w:ascii="Arial" w:hAnsi="Arial" w:cs="Arial"/>
          <w:sz w:val="22"/>
          <w:szCs w:val="22"/>
        </w:rPr>
        <w:t xml:space="preserve"> Grenzregion.</w:t>
      </w:r>
    </w:p>
    <w:p w:rsidR="000737F1" w:rsidRPr="00DA7FA8" w:rsidRDefault="000737F1" w:rsidP="000737F1">
      <w:pPr>
        <w:jc w:val="both"/>
        <w:rPr>
          <w:rFonts w:ascii="Arial" w:hAnsi="Arial" w:cs="Arial"/>
          <w:sz w:val="22"/>
          <w:szCs w:val="22"/>
        </w:rPr>
      </w:pPr>
      <w:r w:rsidRPr="00DA7FA8">
        <w:rPr>
          <w:rFonts w:ascii="Arial" w:hAnsi="Arial" w:cs="Arial"/>
          <w:sz w:val="22"/>
          <w:szCs w:val="22"/>
        </w:rPr>
        <w:t>Ziel muss es deshalb sein, ausgehend von der Metroborder-Studie einen gemeinsamen Ansatz im Bereich der grenzüberschreitenden Raumplanung und –</w:t>
      </w:r>
      <w:proofErr w:type="spellStart"/>
      <w:r w:rsidRPr="00DA7FA8">
        <w:rPr>
          <w:rFonts w:ascii="Arial" w:hAnsi="Arial" w:cs="Arial"/>
          <w:sz w:val="22"/>
          <w:szCs w:val="22"/>
        </w:rPr>
        <w:t>entwicklung</w:t>
      </w:r>
      <w:proofErr w:type="spellEnd"/>
      <w:r w:rsidRPr="00DA7FA8">
        <w:rPr>
          <w:rFonts w:ascii="Arial" w:hAnsi="Arial" w:cs="Arial"/>
          <w:sz w:val="22"/>
          <w:szCs w:val="22"/>
        </w:rPr>
        <w:t xml:space="preserve"> zu erreichen. Langfristiges Ziel muss die Entwicklung und die Einsetzung einer grenzüberschreitenden polyzentrischen Metropolregion für die Großregion sein.</w:t>
      </w:r>
    </w:p>
    <w:p w:rsidR="000737F1" w:rsidRPr="00DA7FA8" w:rsidRDefault="000737F1" w:rsidP="000737F1">
      <w:pPr>
        <w:jc w:val="both"/>
        <w:rPr>
          <w:rFonts w:ascii="Arial" w:hAnsi="Arial" w:cs="Arial"/>
          <w:sz w:val="22"/>
          <w:szCs w:val="22"/>
        </w:rPr>
      </w:pPr>
    </w:p>
    <w:p w:rsidR="000737F1" w:rsidRPr="00DA7FA8" w:rsidRDefault="000737F1" w:rsidP="000737F1">
      <w:pPr>
        <w:jc w:val="both"/>
        <w:rPr>
          <w:rFonts w:ascii="Arial" w:hAnsi="Arial" w:cs="Arial"/>
          <w:sz w:val="22"/>
          <w:szCs w:val="22"/>
        </w:rPr>
      </w:pPr>
      <w:r w:rsidRPr="00DA7FA8">
        <w:rPr>
          <w:rFonts w:ascii="Arial" w:hAnsi="Arial" w:cs="Arial"/>
          <w:sz w:val="22"/>
          <w:szCs w:val="22"/>
        </w:rPr>
        <w:t xml:space="preserve">Der </w:t>
      </w:r>
      <w:r w:rsidRPr="0081347B">
        <w:rPr>
          <w:rFonts w:ascii="Arial" w:hAnsi="Arial" w:cs="Arial"/>
          <w:b/>
          <w:sz w:val="22"/>
          <w:szCs w:val="22"/>
        </w:rPr>
        <w:t>Interregionale Parlamentarier-Rat</w:t>
      </w:r>
      <w:r w:rsidRPr="00DA7FA8">
        <w:rPr>
          <w:rFonts w:ascii="Arial" w:hAnsi="Arial" w:cs="Arial"/>
          <w:sz w:val="22"/>
          <w:szCs w:val="22"/>
        </w:rPr>
        <w:t xml:space="preserve"> appelliert an die Exekutiven der Großregion, die in der Studie identifizierten Str</w:t>
      </w:r>
      <w:r>
        <w:rPr>
          <w:rFonts w:ascii="Arial" w:hAnsi="Arial" w:cs="Arial"/>
          <w:sz w:val="22"/>
          <w:szCs w:val="22"/>
        </w:rPr>
        <w:t>ategien und Aktionen auf breiter</w:t>
      </w:r>
      <w:r w:rsidRPr="00DA7FA8">
        <w:rPr>
          <w:rFonts w:ascii="Arial" w:hAnsi="Arial" w:cs="Arial"/>
          <w:sz w:val="22"/>
          <w:szCs w:val="22"/>
        </w:rPr>
        <w:t xml:space="preserve"> Ebene umzusetzen und so das Metroborder-Projekt </w:t>
      </w:r>
      <w:r>
        <w:rPr>
          <w:rFonts w:ascii="Arial" w:hAnsi="Arial" w:cs="Arial"/>
          <w:sz w:val="22"/>
          <w:szCs w:val="22"/>
        </w:rPr>
        <w:t xml:space="preserve">zielgerichtet </w:t>
      </w:r>
      <w:r w:rsidRPr="00DA7FA8">
        <w:rPr>
          <w:rFonts w:ascii="Arial" w:hAnsi="Arial" w:cs="Arial"/>
          <w:sz w:val="22"/>
          <w:szCs w:val="22"/>
        </w:rPr>
        <w:t>weiterzuführen.</w:t>
      </w:r>
    </w:p>
    <w:p w:rsidR="000737F1" w:rsidRDefault="000737F1" w:rsidP="000737F1">
      <w:pPr>
        <w:jc w:val="both"/>
        <w:rPr>
          <w:rFonts w:ascii="Arial" w:hAnsi="Arial" w:cs="Arial"/>
          <w:sz w:val="22"/>
          <w:szCs w:val="22"/>
        </w:rPr>
      </w:pPr>
    </w:p>
    <w:p w:rsidR="000737F1" w:rsidRDefault="000737F1" w:rsidP="000737F1">
      <w:pPr>
        <w:jc w:val="both"/>
        <w:rPr>
          <w:rFonts w:ascii="Arial" w:hAnsi="Arial" w:cs="Arial"/>
          <w:sz w:val="22"/>
          <w:szCs w:val="22"/>
        </w:rPr>
      </w:pPr>
      <w:r>
        <w:rPr>
          <w:rFonts w:ascii="Arial" w:hAnsi="Arial" w:cs="Arial"/>
          <w:sz w:val="22"/>
          <w:szCs w:val="22"/>
        </w:rPr>
        <w:t xml:space="preserve">Darüber hinaus hält der </w:t>
      </w:r>
      <w:r w:rsidRPr="0081347B">
        <w:rPr>
          <w:rFonts w:ascii="Arial" w:hAnsi="Arial" w:cs="Arial"/>
          <w:b/>
          <w:sz w:val="22"/>
          <w:szCs w:val="22"/>
        </w:rPr>
        <w:t>Interregionale Parlamentarier-Rat</w:t>
      </w:r>
      <w:r>
        <w:rPr>
          <w:rFonts w:ascii="Arial" w:hAnsi="Arial" w:cs="Arial"/>
          <w:sz w:val="22"/>
          <w:szCs w:val="22"/>
        </w:rPr>
        <w:t xml:space="preserve"> eine </w:t>
      </w:r>
      <w:proofErr w:type="spellStart"/>
      <w:r>
        <w:rPr>
          <w:rFonts w:ascii="Arial" w:hAnsi="Arial" w:cs="Arial"/>
          <w:sz w:val="22"/>
          <w:szCs w:val="22"/>
        </w:rPr>
        <w:t>eigeninitiative</w:t>
      </w:r>
      <w:proofErr w:type="spellEnd"/>
      <w:r>
        <w:rPr>
          <w:rFonts w:ascii="Arial" w:hAnsi="Arial" w:cs="Arial"/>
          <w:sz w:val="22"/>
          <w:szCs w:val="22"/>
        </w:rPr>
        <w:t xml:space="preserve"> stärkere Vernetzung der Städte innerhalb der Großregion für zukunftsweisend und zielführend.</w:t>
      </w:r>
    </w:p>
    <w:p w:rsidR="000737F1" w:rsidRPr="00DA7FA8" w:rsidRDefault="000737F1" w:rsidP="000737F1">
      <w:pPr>
        <w:jc w:val="both"/>
        <w:rPr>
          <w:rFonts w:ascii="Arial" w:hAnsi="Arial" w:cs="Arial"/>
          <w:sz w:val="22"/>
          <w:szCs w:val="22"/>
        </w:rPr>
      </w:pPr>
    </w:p>
    <w:p w:rsidR="000737F1" w:rsidRPr="00DA7FA8" w:rsidRDefault="000737F1" w:rsidP="000737F1">
      <w:pPr>
        <w:jc w:val="both"/>
        <w:rPr>
          <w:rFonts w:ascii="Arial" w:hAnsi="Arial" w:cs="Arial"/>
          <w:sz w:val="22"/>
          <w:szCs w:val="22"/>
        </w:rPr>
      </w:pPr>
    </w:p>
    <w:p w:rsidR="000737F1" w:rsidRPr="00DA7FA8" w:rsidRDefault="000737F1" w:rsidP="000737F1">
      <w:pPr>
        <w:spacing w:line="480" w:lineRule="auto"/>
        <w:jc w:val="both"/>
        <w:rPr>
          <w:rFonts w:ascii="Arial" w:hAnsi="Arial" w:cs="Arial"/>
          <w:sz w:val="22"/>
          <w:szCs w:val="22"/>
        </w:rPr>
      </w:pPr>
      <w:r w:rsidRPr="00DA7FA8">
        <w:rPr>
          <w:rFonts w:ascii="Arial" w:hAnsi="Arial" w:cs="Arial"/>
          <w:sz w:val="22"/>
          <w:szCs w:val="22"/>
        </w:rPr>
        <w:t xml:space="preserve">Der </w:t>
      </w:r>
      <w:r w:rsidRPr="0081347B">
        <w:rPr>
          <w:rFonts w:ascii="Arial" w:hAnsi="Arial" w:cs="Arial"/>
          <w:b/>
          <w:sz w:val="22"/>
          <w:szCs w:val="22"/>
        </w:rPr>
        <w:t>Interregionale Parlamentarier-Rat</w:t>
      </w:r>
      <w:r w:rsidRPr="00DA7FA8">
        <w:rPr>
          <w:rFonts w:ascii="Arial" w:hAnsi="Arial" w:cs="Arial"/>
          <w:sz w:val="22"/>
          <w:szCs w:val="22"/>
        </w:rPr>
        <w:t xml:space="preserve"> richtet diese Empfehlung an:</w:t>
      </w:r>
    </w:p>
    <w:p w:rsidR="000737F1" w:rsidRPr="00DA7FA8" w:rsidRDefault="000737F1" w:rsidP="000737F1">
      <w:pPr>
        <w:numPr>
          <w:ilvl w:val="0"/>
          <w:numId w:val="1"/>
        </w:numPr>
        <w:spacing w:line="360" w:lineRule="auto"/>
        <w:jc w:val="both"/>
        <w:rPr>
          <w:rFonts w:ascii="Arial" w:hAnsi="Arial" w:cs="Arial"/>
          <w:sz w:val="22"/>
          <w:szCs w:val="22"/>
        </w:rPr>
      </w:pPr>
      <w:r w:rsidRPr="00DA7FA8">
        <w:rPr>
          <w:rFonts w:ascii="Arial" w:hAnsi="Arial" w:cs="Arial"/>
          <w:sz w:val="22"/>
          <w:szCs w:val="22"/>
        </w:rPr>
        <w:t>die Regierung des Großherzogtums Luxemburg,</w:t>
      </w:r>
    </w:p>
    <w:p w:rsidR="000737F1" w:rsidRPr="00DA7FA8" w:rsidRDefault="000737F1" w:rsidP="000737F1">
      <w:pPr>
        <w:numPr>
          <w:ilvl w:val="0"/>
          <w:numId w:val="1"/>
        </w:numPr>
        <w:spacing w:line="360" w:lineRule="auto"/>
        <w:jc w:val="both"/>
        <w:rPr>
          <w:rFonts w:ascii="Arial" w:hAnsi="Arial" w:cs="Arial"/>
          <w:sz w:val="22"/>
          <w:szCs w:val="22"/>
        </w:rPr>
      </w:pPr>
      <w:r w:rsidRPr="00DA7FA8">
        <w:rPr>
          <w:rFonts w:ascii="Arial" w:hAnsi="Arial" w:cs="Arial"/>
          <w:sz w:val="22"/>
          <w:szCs w:val="22"/>
        </w:rPr>
        <w:t>die Regierung der Französischen Gemeinschaft Belgiens,</w:t>
      </w:r>
    </w:p>
    <w:p w:rsidR="000737F1" w:rsidRPr="00DA7FA8" w:rsidRDefault="000737F1" w:rsidP="000737F1">
      <w:pPr>
        <w:numPr>
          <w:ilvl w:val="0"/>
          <w:numId w:val="1"/>
        </w:numPr>
        <w:spacing w:line="360" w:lineRule="auto"/>
        <w:jc w:val="both"/>
        <w:rPr>
          <w:rFonts w:ascii="Arial" w:hAnsi="Arial" w:cs="Arial"/>
          <w:sz w:val="22"/>
          <w:szCs w:val="22"/>
        </w:rPr>
      </w:pPr>
      <w:r w:rsidRPr="00DA7FA8">
        <w:rPr>
          <w:rFonts w:ascii="Arial" w:hAnsi="Arial" w:cs="Arial"/>
          <w:sz w:val="22"/>
          <w:szCs w:val="22"/>
        </w:rPr>
        <w:t>die Regierung der Deutschsprachigen Gemeinschaft Belgiens,</w:t>
      </w:r>
    </w:p>
    <w:p w:rsidR="000737F1" w:rsidRPr="00DA7FA8" w:rsidRDefault="000737F1" w:rsidP="000737F1">
      <w:pPr>
        <w:numPr>
          <w:ilvl w:val="0"/>
          <w:numId w:val="1"/>
        </w:numPr>
        <w:spacing w:line="360" w:lineRule="auto"/>
        <w:jc w:val="both"/>
        <w:rPr>
          <w:rFonts w:ascii="Arial" w:hAnsi="Arial" w:cs="Arial"/>
          <w:sz w:val="22"/>
          <w:szCs w:val="22"/>
        </w:rPr>
      </w:pPr>
      <w:r w:rsidRPr="00DA7FA8">
        <w:rPr>
          <w:rFonts w:ascii="Arial" w:hAnsi="Arial" w:cs="Arial"/>
          <w:sz w:val="22"/>
          <w:szCs w:val="22"/>
        </w:rPr>
        <w:t>die Regierung der Wallonischen Region,</w:t>
      </w:r>
    </w:p>
    <w:p w:rsidR="000737F1" w:rsidRPr="00DA7FA8" w:rsidRDefault="000737F1" w:rsidP="000737F1">
      <w:pPr>
        <w:numPr>
          <w:ilvl w:val="0"/>
          <w:numId w:val="1"/>
        </w:numPr>
        <w:spacing w:line="360" w:lineRule="auto"/>
        <w:jc w:val="both"/>
        <w:rPr>
          <w:rFonts w:ascii="Arial" w:hAnsi="Arial" w:cs="Arial"/>
          <w:sz w:val="22"/>
          <w:szCs w:val="22"/>
        </w:rPr>
      </w:pPr>
      <w:r w:rsidRPr="00DA7FA8">
        <w:rPr>
          <w:rFonts w:ascii="Arial" w:hAnsi="Arial" w:cs="Arial"/>
          <w:sz w:val="22"/>
          <w:szCs w:val="22"/>
        </w:rPr>
        <w:t>die Landesregierung von Rheinland-Pfalz,</w:t>
      </w:r>
    </w:p>
    <w:p w:rsidR="000737F1" w:rsidRPr="00DA7FA8" w:rsidRDefault="000737F1" w:rsidP="000737F1">
      <w:pPr>
        <w:numPr>
          <w:ilvl w:val="0"/>
          <w:numId w:val="1"/>
        </w:numPr>
        <w:spacing w:line="360" w:lineRule="auto"/>
        <w:jc w:val="both"/>
        <w:rPr>
          <w:rFonts w:ascii="Arial" w:hAnsi="Arial" w:cs="Arial"/>
          <w:sz w:val="22"/>
          <w:szCs w:val="22"/>
        </w:rPr>
      </w:pPr>
      <w:r w:rsidRPr="00DA7FA8">
        <w:rPr>
          <w:rFonts w:ascii="Arial" w:hAnsi="Arial" w:cs="Arial"/>
          <w:sz w:val="22"/>
          <w:szCs w:val="22"/>
        </w:rPr>
        <w:t>die Landesregierung des Saarlandes,</w:t>
      </w:r>
    </w:p>
    <w:p w:rsidR="000737F1" w:rsidRPr="00DA7FA8" w:rsidRDefault="000737F1" w:rsidP="000737F1">
      <w:pPr>
        <w:numPr>
          <w:ilvl w:val="0"/>
          <w:numId w:val="1"/>
        </w:numPr>
        <w:spacing w:line="360" w:lineRule="auto"/>
        <w:jc w:val="both"/>
        <w:rPr>
          <w:rFonts w:ascii="Arial" w:hAnsi="Arial" w:cs="Arial"/>
          <w:sz w:val="22"/>
          <w:szCs w:val="22"/>
        </w:rPr>
      </w:pPr>
      <w:r w:rsidRPr="00DA7FA8">
        <w:rPr>
          <w:rFonts w:ascii="Arial" w:hAnsi="Arial" w:cs="Arial"/>
          <w:sz w:val="22"/>
          <w:szCs w:val="22"/>
        </w:rPr>
        <w:t>den Präfekten der Region Lorraine,</w:t>
      </w:r>
    </w:p>
    <w:p w:rsidR="000737F1" w:rsidRPr="00DA7FA8" w:rsidRDefault="000737F1" w:rsidP="000737F1">
      <w:pPr>
        <w:numPr>
          <w:ilvl w:val="0"/>
          <w:numId w:val="1"/>
        </w:numPr>
        <w:spacing w:line="360" w:lineRule="auto"/>
        <w:jc w:val="both"/>
        <w:rPr>
          <w:rFonts w:ascii="Arial" w:hAnsi="Arial" w:cs="Arial"/>
          <w:sz w:val="22"/>
          <w:szCs w:val="22"/>
          <w:lang w:val="fr-FR"/>
        </w:rPr>
      </w:pPr>
      <w:r w:rsidRPr="00DA7FA8">
        <w:rPr>
          <w:rFonts w:ascii="Arial" w:hAnsi="Arial" w:cs="Arial"/>
          <w:sz w:val="22"/>
          <w:szCs w:val="22"/>
          <w:lang w:val="fr-FR"/>
        </w:rPr>
        <w:t>den Conseil Régional de Lorraine</w:t>
      </w:r>
    </w:p>
    <w:p w:rsidR="000737F1" w:rsidRPr="00DA7FA8" w:rsidRDefault="000737F1" w:rsidP="000737F1">
      <w:pPr>
        <w:spacing w:line="360" w:lineRule="auto"/>
        <w:jc w:val="both"/>
        <w:rPr>
          <w:rFonts w:ascii="Arial" w:hAnsi="Arial" w:cs="Arial"/>
          <w:sz w:val="22"/>
          <w:szCs w:val="22"/>
          <w:lang w:val="fr-FR"/>
        </w:rPr>
      </w:pPr>
    </w:p>
    <w:p w:rsidR="000737F1" w:rsidRPr="00DA7FA8" w:rsidRDefault="000737F1" w:rsidP="000737F1">
      <w:pPr>
        <w:spacing w:line="480" w:lineRule="auto"/>
        <w:jc w:val="both"/>
        <w:rPr>
          <w:rFonts w:ascii="Arial" w:hAnsi="Arial" w:cs="Arial"/>
          <w:sz w:val="22"/>
          <w:szCs w:val="22"/>
          <w:lang w:val="fr-FR"/>
        </w:rPr>
      </w:pPr>
      <w:proofErr w:type="spellStart"/>
      <w:proofErr w:type="gramStart"/>
      <w:r w:rsidRPr="00DA7FA8">
        <w:rPr>
          <w:rFonts w:ascii="Arial" w:hAnsi="Arial" w:cs="Arial"/>
          <w:sz w:val="22"/>
          <w:szCs w:val="22"/>
          <w:lang w:val="fr-FR"/>
        </w:rPr>
        <w:t>und</w:t>
      </w:r>
      <w:proofErr w:type="spellEnd"/>
      <w:proofErr w:type="gramEnd"/>
      <w:r w:rsidRPr="00DA7FA8">
        <w:rPr>
          <w:rFonts w:ascii="Arial" w:hAnsi="Arial" w:cs="Arial"/>
          <w:sz w:val="22"/>
          <w:szCs w:val="22"/>
        </w:rPr>
        <w:t xml:space="preserve"> darüber hinaus</w:t>
      </w:r>
      <w:r w:rsidRPr="00DA7FA8">
        <w:rPr>
          <w:rFonts w:ascii="Arial" w:hAnsi="Arial" w:cs="Arial"/>
          <w:sz w:val="22"/>
          <w:szCs w:val="22"/>
          <w:lang w:val="fr-FR"/>
        </w:rPr>
        <w:t xml:space="preserve"> an</w:t>
      </w:r>
    </w:p>
    <w:p w:rsidR="000737F1" w:rsidRPr="00DA7FA8" w:rsidRDefault="000737F1" w:rsidP="000737F1">
      <w:pPr>
        <w:numPr>
          <w:ilvl w:val="0"/>
          <w:numId w:val="1"/>
        </w:numPr>
        <w:spacing w:line="360" w:lineRule="auto"/>
        <w:jc w:val="both"/>
        <w:rPr>
          <w:rFonts w:ascii="Arial" w:hAnsi="Arial" w:cs="Arial"/>
          <w:sz w:val="22"/>
          <w:szCs w:val="22"/>
        </w:rPr>
      </w:pPr>
      <w:r w:rsidRPr="00DA7FA8">
        <w:rPr>
          <w:rFonts w:ascii="Arial" w:hAnsi="Arial" w:cs="Arial"/>
          <w:sz w:val="22"/>
          <w:szCs w:val="22"/>
        </w:rPr>
        <w:t>die Regierung der Bundesrepublik Deutschlands,</w:t>
      </w:r>
    </w:p>
    <w:p w:rsidR="000737F1" w:rsidRPr="00DA7FA8" w:rsidRDefault="000737F1" w:rsidP="000737F1">
      <w:pPr>
        <w:numPr>
          <w:ilvl w:val="0"/>
          <w:numId w:val="1"/>
        </w:numPr>
        <w:spacing w:line="360" w:lineRule="auto"/>
        <w:jc w:val="both"/>
        <w:rPr>
          <w:rFonts w:ascii="Arial" w:hAnsi="Arial" w:cs="Arial"/>
          <w:sz w:val="22"/>
          <w:szCs w:val="22"/>
        </w:rPr>
      </w:pPr>
      <w:r w:rsidRPr="00DA7FA8">
        <w:rPr>
          <w:rFonts w:ascii="Arial" w:hAnsi="Arial" w:cs="Arial"/>
          <w:sz w:val="22"/>
          <w:szCs w:val="22"/>
        </w:rPr>
        <w:t>die Regierung der Französischen Republik,</w:t>
      </w:r>
    </w:p>
    <w:p w:rsidR="000737F1" w:rsidRPr="00DA7FA8" w:rsidRDefault="000737F1" w:rsidP="000737F1">
      <w:pPr>
        <w:numPr>
          <w:ilvl w:val="0"/>
          <w:numId w:val="1"/>
        </w:numPr>
        <w:spacing w:line="360" w:lineRule="auto"/>
        <w:jc w:val="both"/>
        <w:rPr>
          <w:rFonts w:ascii="Arial" w:hAnsi="Arial" w:cs="Arial"/>
          <w:sz w:val="22"/>
          <w:szCs w:val="22"/>
        </w:rPr>
      </w:pPr>
      <w:r w:rsidRPr="00DA7FA8">
        <w:rPr>
          <w:rFonts w:ascii="Arial" w:hAnsi="Arial" w:cs="Arial"/>
          <w:sz w:val="22"/>
          <w:szCs w:val="22"/>
        </w:rPr>
        <w:t>die Regierung des Königreichs Belgien,</w:t>
      </w:r>
    </w:p>
    <w:p w:rsidR="000737F1" w:rsidRPr="00DA7FA8" w:rsidRDefault="000737F1" w:rsidP="000737F1">
      <w:pPr>
        <w:numPr>
          <w:ilvl w:val="0"/>
          <w:numId w:val="1"/>
        </w:numPr>
        <w:spacing w:line="360" w:lineRule="auto"/>
        <w:jc w:val="both"/>
        <w:rPr>
          <w:rFonts w:ascii="Arial" w:hAnsi="Arial" w:cs="Arial"/>
          <w:sz w:val="22"/>
          <w:szCs w:val="22"/>
        </w:rPr>
      </w:pPr>
      <w:r w:rsidRPr="00DA7FA8">
        <w:rPr>
          <w:rFonts w:ascii="Arial" w:hAnsi="Arial" w:cs="Arial"/>
          <w:sz w:val="22"/>
          <w:szCs w:val="22"/>
        </w:rPr>
        <w:t>die Europäische Kommission.</w:t>
      </w:r>
    </w:p>
    <w:p w:rsidR="000737F1" w:rsidRPr="00DA7FA8" w:rsidRDefault="000737F1" w:rsidP="000737F1">
      <w:pPr>
        <w:spacing w:line="360" w:lineRule="auto"/>
        <w:jc w:val="right"/>
        <w:rPr>
          <w:rFonts w:ascii="Arial" w:hAnsi="Arial" w:cs="Arial"/>
          <w:sz w:val="22"/>
          <w:szCs w:val="22"/>
        </w:rPr>
      </w:pPr>
    </w:p>
    <w:p w:rsidR="000737F1" w:rsidRPr="00DA7FA8" w:rsidRDefault="000737F1" w:rsidP="000737F1">
      <w:pPr>
        <w:spacing w:line="360" w:lineRule="auto"/>
        <w:jc w:val="right"/>
        <w:rPr>
          <w:rFonts w:ascii="Arial" w:hAnsi="Arial" w:cs="Arial"/>
          <w:sz w:val="22"/>
          <w:szCs w:val="22"/>
        </w:rPr>
      </w:pPr>
      <w:r w:rsidRPr="00DA7FA8">
        <w:rPr>
          <w:rFonts w:ascii="Arial" w:hAnsi="Arial" w:cs="Arial"/>
          <w:sz w:val="22"/>
          <w:szCs w:val="22"/>
        </w:rPr>
        <w:t xml:space="preserve">Metz, </w:t>
      </w:r>
      <w:r w:rsidR="00854305">
        <w:rPr>
          <w:rFonts w:ascii="Arial" w:hAnsi="Arial" w:cs="Arial"/>
          <w:sz w:val="22"/>
          <w:szCs w:val="22"/>
        </w:rPr>
        <w:t>1. Juni 2012</w:t>
      </w:r>
      <w:bookmarkStart w:id="0" w:name="_GoBack"/>
      <w:bookmarkEnd w:id="0"/>
    </w:p>
    <w:p w:rsidR="00BE64C7" w:rsidRDefault="00BE64C7"/>
    <w:sectPr w:rsidR="00BE6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16C2"/>
    <w:multiLevelType w:val="hybridMultilevel"/>
    <w:tmpl w:val="39AAA9EA"/>
    <w:lvl w:ilvl="0" w:tplc="F60830AA">
      <w:numFmt w:val="bullet"/>
      <w:lvlText w:val="-"/>
      <w:lvlJc w:val="left"/>
      <w:pPr>
        <w:tabs>
          <w:tab w:val="num" w:pos="720"/>
        </w:tabs>
        <w:ind w:left="720" w:hanging="360"/>
      </w:pPr>
      <w:rPr>
        <w:rFonts w:ascii="Arial" w:eastAsia="Times New Roman" w:hAnsi="Arial" w:cs="Arial" w:hint="default"/>
        <w:lang w:val="fr-FR"/>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F1"/>
    <w:rsid w:val="000737F1"/>
    <w:rsid w:val="00854305"/>
    <w:rsid w:val="00BE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F1"/>
    <w:pPr>
      <w:spacing w:after="0" w:line="240" w:lineRule="auto"/>
    </w:pPr>
    <w:rPr>
      <w:rFonts w:ascii="Times New Roman" w:eastAsia="Times New Roman" w:hAnsi="Times New Roman" w:cs="Times New Roman"/>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737F1"/>
    <w:pPr>
      <w:spacing w:before="100" w:beforeAutospacing="1" w:after="100" w:afterAutospacing="1"/>
    </w:pPr>
  </w:style>
  <w:style w:type="paragraph" w:styleId="Textedebulles">
    <w:name w:val="Balloon Text"/>
    <w:basedOn w:val="Normal"/>
    <w:link w:val="TextedebullesCar"/>
    <w:uiPriority w:val="99"/>
    <w:semiHidden/>
    <w:unhideWhenUsed/>
    <w:rsid w:val="000737F1"/>
    <w:rPr>
      <w:rFonts w:ascii="Tahoma" w:hAnsi="Tahoma" w:cs="Tahoma"/>
      <w:sz w:val="16"/>
      <w:szCs w:val="16"/>
    </w:rPr>
  </w:style>
  <w:style w:type="character" w:customStyle="1" w:styleId="TextedebullesCar">
    <w:name w:val="Texte de bulles Car"/>
    <w:basedOn w:val="Policepardfaut"/>
    <w:link w:val="Textedebulles"/>
    <w:uiPriority w:val="99"/>
    <w:semiHidden/>
    <w:rsid w:val="000737F1"/>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F1"/>
    <w:pPr>
      <w:spacing w:after="0" w:line="240" w:lineRule="auto"/>
    </w:pPr>
    <w:rPr>
      <w:rFonts w:ascii="Times New Roman" w:eastAsia="Times New Roman" w:hAnsi="Times New Roman" w:cs="Times New Roman"/>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737F1"/>
    <w:pPr>
      <w:spacing w:before="100" w:beforeAutospacing="1" w:after="100" w:afterAutospacing="1"/>
    </w:pPr>
  </w:style>
  <w:style w:type="paragraph" w:styleId="Textedebulles">
    <w:name w:val="Balloon Text"/>
    <w:basedOn w:val="Normal"/>
    <w:link w:val="TextedebullesCar"/>
    <w:uiPriority w:val="99"/>
    <w:semiHidden/>
    <w:unhideWhenUsed/>
    <w:rsid w:val="000737F1"/>
    <w:rPr>
      <w:rFonts w:ascii="Tahoma" w:hAnsi="Tahoma" w:cs="Tahoma"/>
      <w:sz w:val="16"/>
      <w:szCs w:val="16"/>
    </w:rPr>
  </w:style>
  <w:style w:type="character" w:customStyle="1" w:styleId="TextedebullesCar">
    <w:name w:val="Texte de bulles Car"/>
    <w:basedOn w:val="Policepardfaut"/>
    <w:link w:val="Textedebulles"/>
    <w:uiPriority w:val="99"/>
    <w:semiHidden/>
    <w:rsid w:val="000737F1"/>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4203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Région Lorraine</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Poirot Alicia</dc:creator>
  <cp:lastModifiedBy>Muller Etienne</cp:lastModifiedBy>
  <cp:revision>2</cp:revision>
  <dcterms:created xsi:type="dcterms:W3CDTF">2012-06-18T15:55:00Z</dcterms:created>
  <dcterms:modified xsi:type="dcterms:W3CDTF">2012-07-06T07:18:00Z</dcterms:modified>
</cp:coreProperties>
</file>